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ascii="Times New Roman" w:hAnsi="Times New Roman" w:cs="Times New Roman"/>
          <w:b/>
          <w:sz w:val="24"/>
        </w:rPr>
      </w:pPr>
      <w:r>
        <w:rPr>
          <w:rFonts w:ascii="Times New Roman" w:hAnsi="Times New Roman" w:eastAsia="黑体" w:cs="Times New Roman"/>
          <w:b/>
          <w:sz w:val="44"/>
          <w:szCs w:val="44"/>
        </w:rPr>
        <w:t>课后素养评价(二十一)　</w:t>
      </w:r>
      <w:r>
        <w:rPr>
          <w:rFonts w:ascii="Times New Roman" w:hAnsi="Times New Roman" w:cs="Times New Roman"/>
          <w:b/>
          <w:sz w:val="44"/>
          <w:szCs w:val="44"/>
        </w:rPr>
        <w:t>公正司法</w:t>
      </w:r>
      <w:r>
        <w:rPr>
          <w:rFonts w:ascii="Times New Roman" w:hAnsi="Times New Roman" w:cs="Times New Roman"/>
          <w:b/>
          <w:sz w:val="24"/>
        </w:rPr>
        <w:drawing>
          <wp:inline distT="0" distB="0" distL="0" distR="0">
            <wp:extent cx="5318125" cy="380365"/>
            <wp:effectExtent l="0" t="0" r="0" b="635"/>
            <wp:docPr id="2" name="图片 2" descr="D:\董苗苗\25-26 四川点金训练 思想政治人教必修3\基础性·能力运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董苗苗\25-26 四川点金训练 思想政治人教必修3\基础性·能力运用.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318125" cy="380365"/>
                    </a:xfrm>
                    <a:prstGeom prst="rect">
                      <a:avLst/>
                    </a:prstGeom>
                    <a:noFill/>
                    <a:ln>
                      <a:noFill/>
                    </a:ln>
                  </pic:spPr>
                </pic:pic>
              </a:graphicData>
            </a:graphic>
          </wp:inline>
        </w:drawing>
      </w:r>
    </w:p>
    <w:p>
      <w:pPr>
        <w:pStyle w:val="2"/>
        <w:spacing w:line="360" w:lineRule="auto"/>
        <w:rPr>
          <w:rFonts w:ascii="Times New Roman" w:hAnsi="Times New Roman" w:cs="Times New Roman"/>
          <w:b/>
          <w:sz w:val="24"/>
        </w:rPr>
      </w:pPr>
      <w:r>
        <w:rPr>
          <w:rFonts w:ascii="Times New Roman" w:hAnsi="Times New Roman" w:eastAsia="黑体" w:cs="Times New Roman"/>
          <w:b/>
          <w:sz w:val="24"/>
        </w:rPr>
        <w:t xml:space="preserve">知识点1　公正司法的内涵 </w:t>
      </w:r>
    </w:p>
    <w:p>
      <w:pPr>
        <w:pStyle w:val="2"/>
        <w:spacing w:line="360" w:lineRule="auto"/>
        <w:rPr>
          <w:rFonts w:ascii="Times New Roman" w:hAnsi="Times New Roman" w:cs="Times New Roman"/>
          <w:b/>
          <w:sz w:val="24"/>
        </w:rPr>
      </w:pPr>
      <w:r>
        <w:rPr>
          <w:rFonts w:ascii="Times New Roman" w:hAnsi="Times New Roman" w:cs="Times New Roman"/>
          <w:b/>
          <w:sz w:val="24"/>
        </w:rPr>
        <w:t>1．新修订的《人民检察院行政诉讼监督规则》实施以来，各级人民检察院通过提出抗诉、检察建议等方式，对行政诉讼实行监督，促进人民法院依法审判和执行，推动行政争议实质性化解。人民检察院落实行政诉讼监督在于更好地</w:t>
      </w:r>
      <w:r>
        <w:rPr>
          <w:rFonts w:ascii="Times New Roman" w:hAnsi="Times New Roman" w:cs="Times New Roman"/>
          <w:b/>
          <w:sz w:val="24"/>
        </w:rPr>
        <w:ptab w:relativeTo="indent" w:alignment="right" w:leader="none"/>
      </w:r>
      <w:r>
        <w:rPr>
          <w:rFonts w:ascii="Times New Roman" w:hAnsi="Times New Roman" w:cs="Times New Roman"/>
          <w:b/>
          <w:sz w:val="24"/>
        </w:rPr>
        <w:t xml:space="preserve"> (　　)</w:t>
      </w:r>
    </w:p>
    <w:p>
      <w:pPr>
        <w:pStyle w:val="2"/>
        <w:spacing w:line="360" w:lineRule="auto"/>
        <w:rPr>
          <w:rFonts w:ascii="Times New Roman" w:hAnsi="Times New Roman" w:cs="Times New Roman"/>
          <w:b/>
          <w:sz w:val="24"/>
        </w:rPr>
      </w:pPr>
      <w:r>
        <w:rPr>
          <w:rFonts w:ascii="Times New Roman" w:hAnsi="Times New Roman" w:cs="Times New Roman"/>
          <w:b/>
          <w:sz w:val="24"/>
        </w:rPr>
        <w:t>①提高监察机关的司法监督水平</w:t>
      </w:r>
    </w:p>
    <w:p>
      <w:pPr>
        <w:pStyle w:val="2"/>
        <w:spacing w:line="360" w:lineRule="auto"/>
        <w:rPr>
          <w:rFonts w:ascii="Times New Roman" w:hAnsi="Times New Roman" w:cs="Times New Roman"/>
          <w:b/>
          <w:sz w:val="24"/>
        </w:rPr>
      </w:pPr>
      <w:r>
        <w:rPr>
          <w:rFonts w:ascii="Times New Roman" w:hAnsi="Times New Roman" w:cs="Times New Roman"/>
          <w:b/>
          <w:sz w:val="24"/>
        </w:rPr>
        <w:t>②实现人民法院独立行使审判权</w:t>
      </w:r>
    </w:p>
    <w:p>
      <w:pPr>
        <w:pStyle w:val="2"/>
        <w:spacing w:line="360" w:lineRule="auto"/>
        <w:rPr>
          <w:rFonts w:ascii="Times New Roman" w:hAnsi="Times New Roman" w:cs="Times New Roman"/>
          <w:b/>
          <w:sz w:val="24"/>
        </w:rPr>
      </w:pPr>
      <w:r>
        <w:rPr>
          <w:rFonts w:ascii="Times New Roman" w:hAnsi="Times New Roman" w:cs="Times New Roman"/>
          <w:b/>
          <w:sz w:val="24"/>
        </w:rPr>
        <w:t>③保障和维护公民的合法权益</w:t>
      </w:r>
    </w:p>
    <w:p>
      <w:pPr>
        <w:pStyle w:val="2"/>
        <w:spacing w:line="360" w:lineRule="auto"/>
        <w:rPr>
          <w:rFonts w:ascii="Times New Roman" w:hAnsi="Times New Roman" w:cs="Times New Roman"/>
          <w:b/>
          <w:sz w:val="24"/>
        </w:rPr>
      </w:pPr>
      <w:r>
        <w:rPr>
          <w:rFonts w:ascii="Times New Roman" w:hAnsi="Times New Roman" w:cs="Times New Roman"/>
          <w:b/>
          <w:sz w:val="24"/>
        </w:rPr>
        <w:t>④维护司法公正与促进</w:t>
      </w:r>
      <w:r>
        <w:rPr>
          <w:rFonts w:hint="eastAsia" w:ascii="Times New Roman" w:hAnsi="Times New Roman" w:cs="Times New Roman"/>
          <w:b/>
          <w:sz w:val="24"/>
        </w:rPr>
        <w:t>依法行政</w:t>
      </w:r>
    </w:p>
    <w:p>
      <w:pPr>
        <w:pStyle w:val="2"/>
        <w:spacing w:line="360" w:lineRule="auto"/>
        <w:rPr>
          <w:rFonts w:ascii="Times New Roman" w:hAnsi="Times New Roman" w:cs="Times New Roman"/>
          <w:b/>
          <w:sz w:val="24"/>
        </w:rPr>
      </w:pPr>
      <w:r>
        <w:rPr>
          <w:rFonts w:ascii="Times New Roman" w:hAnsi="Times New Roman" w:cs="Times New Roman"/>
          <w:b/>
          <w:sz w:val="24"/>
        </w:rPr>
        <w:t>A</w:t>
      </w:r>
      <w:r>
        <w:rPr>
          <w:rFonts w:hint="eastAsia" w:ascii="Times New Roman" w:hAnsi="Times New Roman" w:cs="Times New Roman"/>
          <w:b/>
          <w:sz w:val="24"/>
        </w:rPr>
        <w:t>．</w:t>
      </w:r>
      <w:r>
        <w:rPr>
          <w:rFonts w:ascii="Times New Roman" w:hAnsi="Times New Roman" w:cs="Times New Roman"/>
          <w:b/>
          <w:sz w:val="24"/>
        </w:rPr>
        <w:t>①②    B．①④    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解析：</w:t>
      </w:r>
      <w:r>
        <w:rPr>
          <w:rFonts w:ascii="Times New Roman" w:hAnsi="Times New Roman" w:eastAsia="华文楷体" w:cs="Times New Roman"/>
          <w:b/>
          <w:sz w:val="24"/>
        </w:rPr>
        <w:t>人民检察院落实行政诉讼监督，促进人民法院依法审判和执行，推动行政争议实质性化解，在于更好地维护司法公正与促进依法行政，保障和维护公民的合法权益，③④符合题意。人民检察院是国家的法律监督机关，①错误。材料强调的是人民检察院落实行政诉讼监督，促进人民法院依法审判和执行，与实现人民法院独立行使审判权无关，②不符合题意。</w:t>
      </w:r>
    </w:p>
    <w:p>
      <w:pPr>
        <w:pStyle w:val="2"/>
        <w:spacing w:line="360" w:lineRule="auto"/>
        <w:rPr>
          <w:rFonts w:ascii="Times New Roman" w:hAnsi="Times New Roman" w:cs="Times New Roman"/>
          <w:b/>
          <w:sz w:val="24"/>
        </w:rPr>
      </w:pPr>
      <w:r>
        <w:rPr>
          <w:rFonts w:ascii="Times New Roman" w:hAnsi="Times New Roman" w:cs="Times New Roman"/>
          <w:b/>
          <w:sz w:val="24"/>
        </w:rPr>
        <w:t>2．司法公正是人民法院审判工作的核心价值追求，把实现程序公正</w:t>
      </w:r>
      <w:r>
        <w:rPr>
          <w:rFonts w:hint="eastAsia" w:ascii="Times New Roman" w:hAnsi="Times New Roman" w:cs="Times New Roman"/>
          <w:b/>
          <w:sz w:val="24"/>
        </w:rPr>
        <w:t>摆在审判工作更加突出的位置，加强人权司法保护，可以更好地维护和促进司法公正。实现司法程序公正可以</w:t>
      </w:r>
      <w:r>
        <w:rPr>
          <w:rFonts w:ascii="Times New Roman" w:hAnsi="Times New Roman" w:cs="Times New Roman"/>
          <w:b/>
          <w:sz w:val="24"/>
        </w:rPr>
        <w:t xml:space="preserve"> </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①最大化实现结果公正，有效保护公民的程序权利</w:t>
      </w:r>
    </w:p>
    <w:p>
      <w:pPr>
        <w:pStyle w:val="2"/>
        <w:spacing w:line="360" w:lineRule="auto"/>
        <w:rPr>
          <w:rFonts w:ascii="Times New Roman" w:hAnsi="Times New Roman" w:cs="Times New Roman"/>
          <w:b/>
          <w:sz w:val="24"/>
        </w:rPr>
      </w:pPr>
      <w:r>
        <w:rPr>
          <w:rFonts w:ascii="Times New Roman" w:hAnsi="Times New Roman" w:cs="Times New Roman"/>
          <w:b/>
          <w:sz w:val="24"/>
        </w:rPr>
        <w:t>②有效解决案件纠纷，惩罚违法者，救济受害者</w:t>
      </w:r>
    </w:p>
    <w:p>
      <w:pPr>
        <w:pStyle w:val="2"/>
        <w:spacing w:line="360" w:lineRule="auto"/>
        <w:rPr>
          <w:rFonts w:ascii="Times New Roman" w:hAnsi="Times New Roman" w:cs="Times New Roman"/>
          <w:b/>
          <w:sz w:val="24"/>
        </w:rPr>
      </w:pPr>
      <w:r>
        <w:rPr>
          <w:rFonts w:ascii="Times New Roman" w:hAnsi="Times New Roman" w:cs="Times New Roman"/>
          <w:b/>
          <w:sz w:val="24"/>
        </w:rPr>
        <w:t>③使审判结果更好地得到人们的认可和尊重</w:t>
      </w:r>
    </w:p>
    <w:p>
      <w:pPr>
        <w:pStyle w:val="2"/>
        <w:spacing w:line="360" w:lineRule="auto"/>
        <w:rPr>
          <w:rFonts w:ascii="Times New Roman" w:hAnsi="Times New Roman" w:cs="Times New Roman"/>
          <w:b/>
          <w:sz w:val="24"/>
        </w:rPr>
      </w:pPr>
      <w:r>
        <w:rPr>
          <w:rFonts w:ascii="Times New Roman" w:hAnsi="Times New Roman" w:cs="Times New Roman"/>
          <w:b/>
          <w:sz w:val="24"/>
        </w:rPr>
        <w:t>④案件事实清楚、法律适用准确、裁判结果合法合理</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ascii="Times New Roman" w:hAnsi="Times New Roman" w:eastAsia="华文楷体" w:cs="Times New Roman"/>
          <w:b/>
          <w:sz w:val="24"/>
        </w:rPr>
        <w:t>把实现程序公正摆在审判工作更加突出的位置，可以最大化实现结果公正，有效保护公民的程序权利，使审判结果可以更好地得</w:t>
      </w:r>
      <w:r>
        <w:rPr>
          <w:rFonts w:hint="eastAsia" w:ascii="Times New Roman" w:hAnsi="Times New Roman" w:eastAsia="华文楷体" w:cs="Times New Roman"/>
          <w:b/>
          <w:sz w:val="24"/>
        </w:rPr>
        <w:t>到人们的认可和尊重，①③符合题意；</w:t>
      </w:r>
      <w:r>
        <w:rPr>
          <w:rFonts w:hint="eastAsia" w:ascii="Times New Roman" w:hAnsi="Times New Roman" w:eastAsia="华文楷体" w:cs="Times New Roman"/>
          <w:b/>
          <w:sz w:val="24"/>
          <w:lang w:val="en-US" w:eastAsia="zh-CN"/>
        </w:rPr>
        <w:t>司法</w:t>
      </w:r>
      <w:r>
        <w:rPr>
          <w:rFonts w:hint="eastAsia" w:ascii="Times New Roman" w:hAnsi="Times New Roman" w:eastAsia="华文楷体" w:cs="Times New Roman"/>
          <w:b/>
          <w:sz w:val="24"/>
        </w:rPr>
        <w:t>结果的公正意味着案件事实清楚、法律适用准确、裁判结果合法合理，只有结果公正，才能有效解决案件纠纷，惩罚违法者，救济受害者，②④不符合题意。</w:t>
      </w:r>
    </w:p>
    <w:p>
      <w:pPr>
        <w:pStyle w:val="2"/>
        <w:spacing w:line="360" w:lineRule="auto"/>
        <w:rPr>
          <w:rFonts w:ascii="Times New Roman" w:hAnsi="Times New Roman" w:cs="Times New Roman"/>
          <w:b/>
          <w:sz w:val="24"/>
        </w:rPr>
      </w:pPr>
      <w:r>
        <w:rPr>
          <w:rFonts w:ascii="Times New Roman" w:hAnsi="Times New Roman" w:eastAsia="黑体" w:cs="Times New Roman"/>
          <w:b/>
          <w:sz w:val="24"/>
        </w:rPr>
        <w:t>知识点2　推进公正司法</w:t>
      </w:r>
    </w:p>
    <w:p>
      <w:pPr>
        <w:pStyle w:val="2"/>
        <w:spacing w:line="360" w:lineRule="auto"/>
        <w:rPr>
          <w:rFonts w:ascii="Times New Roman" w:hAnsi="Times New Roman" w:cs="Times New Roman"/>
          <w:b/>
          <w:sz w:val="24"/>
        </w:rPr>
      </w:pPr>
      <w:r>
        <w:rPr>
          <w:rFonts w:ascii="Times New Roman" w:hAnsi="Times New Roman" w:cs="Times New Roman"/>
          <w:b/>
          <w:sz w:val="24"/>
        </w:rPr>
        <w:t xml:space="preserve">3．我国维护宪法法律权威，确保审判权和检察权依法独立行使，健全司法权力运行机制，完善人权司法保障制度。各级党政机关与司法机关的关系是 </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①各级党政机关要支持人民法院、人民检察院依法独立公正行使职权　②人民法院、人民检察院要在各级党政机关的领导下依法履行职能　</w:t>
      </w:r>
      <w:r>
        <w:rPr>
          <w:rFonts w:hint="eastAsia" w:ascii="Times New Roman" w:hAnsi="Times New Roman" w:cs="Times New Roman"/>
          <w:b/>
          <w:sz w:val="24"/>
        </w:rPr>
        <w:t>③任何司法机关都不得执行党政机关的要求　④任何党政机关都不得让司法机关做违反法定职责、有碍司法公正的事情</w:t>
      </w:r>
    </w:p>
    <w:p>
      <w:pPr>
        <w:pStyle w:val="2"/>
        <w:spacing w:line="360" w:lineRule="auto"/>
        <w:rPr>
          <w:rFonts w:ascii="Times New Roman" w:hAnsi="Times New Roman" w:cs="Times New Roman"/>
          <w:b/>
          <w:sz w:val="24"/>
        </w:rPr>
      </w:pPr>
      <w:r>
        <w:rPr>
          <w:rFonts w:ascii="Times New Roman" w:hAnsi="Times New Roman" w:cs="Times New Roman"/>
          <w:b/>
          <w:sz w:val="24"/>
        </w:rPr>
        <w:t>A</w:t>
      </w:r>
      <w:r>
        <w:rPr>
          <w:rFonts w:hint="eastAsia" w:ascii="Times New Roman" w:hAnsi="Times New Roman" w:cs="Times New Roman"/>
          <w:b/>
          <w:sz w:val="24"/>
        </w:rPr>
        <w:t>．</w:t>
      </w:r>
      <w:r>
        <w:rPr>
          <w:rFonts w:ascii="Times New Roman" w:hAnsi="Times New Roman" w:cs="Times New Roman"/>
          <w:b/>
          <w:sz w:val="24"/>
        </w:rPr>
        <w:t>①③    B．①④    C．②③    D．②④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B　</w:t>
      </w:r>
      <w:r>
        <w:rPr>
          <w:rFonts w:ascii="Times New Roman" w:hAnsi="Times New Roman" w:eastAsia="黑体" w:cs="Times New Roman"/>
          <w:b/>
          <w:color w:val="0000FF"/>
          <w:sz w:val="24"/>
        </w:rPr>
        <w:t>解析：</w:t>
      </w:r>
      <w:r>
        <w:rPr>
          <w:rFonts w:ascii="Times New Roman" w:hAnsi="Times New Roman" w:eastAsia="华文楷体" w:cs="Times New Roman"/>
          <w:b/>
          <w:sz w:val="24"/>
        </w:rPr>
        <w:t>推进司法公正，要求各级党政机关支持人民法院、人民检察院依法独立公正行使职权，任何党政机关都不得让司法机关做违反法定职责、有碍司法公正的事情，①④符合题意；人民法院、人民检察院要在党的领导下依法履行职能，不是在党政机关的领导下，②错误；任何司法机关都不得执行党政机关违法干预司法活动的要求，③错误。</w:t>
      </w:r>
    </w:p>
    <w:p>
      <w:pPr>
        <w:pStyle w:val="2"/>
        <w:spacing w:line="360" w:lineRule="auto"/>
        <w:rPr>
          <w:rFonts w:ascii="Times New Roman" w:hAnsi="Times New Roman" w:cs="Times New Roman"/>
          <w:b/>
          <w:sz w:val="24"/>
        </w:rPr>
      </w:pPr>
      <w:r>
        <w:rPr>
          <w:rFonts w:ascii="Times New Roman" w:hAnsi="Times New Roman" w:cs="Times New Roman"/>
          <w:b/>
          <w:sz w:val="24"/>
        </w:rPr>
        <w:t>4．</w:t>
      </w:r>
      <w:r>
        <w:rPr>
          <w:rFonts w:hint="eastAsia" w:ascii="Times New Roman" w:hAnsi="Times New Roman" w:cs="Times New Roman"/>
          <w:b/>
          <w:sz w:val="24"/>
          <w:lang w:val="en-US" w:eastAsia="zh-CN"/>
        </w:rPr>
        <w:t>杭州市</w:t>
      </w:r>
      <w:r>
        <w:rPr>
          <w:rFonts w:ascii="Times New Roman" w:hAnsi="Times New Roman" w:cs="Times New Roman"/>
          <w:b/>
          <w:sz w:val="24"/>
        </w:rPr>
        <w:t>西湖区人民检察院根据《最高人民法院关于互联网法院审理案件若干问题的规定》《中华人民共和国英雄烈士保护法》，对郭某某、何某某、付某某侵害革命英烈名誉的行为，依法向杭州互联网法院提起民事公益诉讼。人民检察院的这一行为</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①是在依法独立行使检察权</w:t>
      </w:r>
    </w:p>
    <w:p>
      <w:pPr>
        <w:pStyle w:val="2"/>
        <w:spacing w:line="360" w:lineRule="auto"/>
        <w:rPr>
          <w:rFonts w:ascii="Times New Roman" w:hAnsi="Times New Roman" w:cs="Times New Roman"/>
          <w:b/>
          <w:sz w:val="24"/>
        </w:rPr>
      </w:pPr>
      <w:r>
        <w:rPr>
          <w:rFonts w:ascii="Times New Roman" w:hAnsi="Times New Roman" w:cs="Times New Roman"/>
          <w:b/>
          <w:sz w:val="24"/>
        </w:rPr>
        <w:t>②有利于保护英烈的人格尊严</w:t>
      </w:r>
    </w:p>
    <w:p>
      <w:pPr>
        <w:pStyle w:val="2"/>
        <w:spacing w:line="360" w:lineRule="auto"/>
        <w:rPr>
          <w:rFonts w:ascii="Times New Roman" w:hAnsi="Times New Roman" w:cs="Times New Roman"/>
          <w:b/>
          <w:sz w:val="24"/>
        </w:rPr>
      </w:pPr>
      <w:r>
        <w:rPr>
          <w:rFonts w:ascii="Times New Roman" w:hAnsi="Times New Roman" w:cs="Times New Roman"/>
          <w:b/>
          <w:sz w:val="24"/>
        </w:rPr>
        <w:t>③依法履行审判机关的职责</w:t>
      </w:r>
    </w:p>
    <w:p>
      <w:pPr>
        <w:pStyle w:val="2"/>
        <w:spacing w:line="360" w:lineRule="auto"/>
        <w:rPr>
          <w:rFonts w:ascii="Times New Roman" w:hAnsi="Times New Roman" w:cs="Times New Roman"/>
          <w:b/>
          <w:sz w:val="24"/>
        </w:rPr>
      </w:pPr>
      <w:r>
        <w:rPr>
          <w:rFonts w:ascii="Times New Roman" w:hAnsi="Times New Roman" w:cs="Times New Roman"/>
          <w:b/>
          <w:sz w:val="24"/>
        </w:rPr>
        <w:t>④健全社会矛盾预防化解机制</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hint="eastAsia" w:ascii="Times New Roman" w:hAnsi="Times New Roman" w:eastAsia="黑体" w:cs="Times New Roman"/>
          <w:b/>
          <w:color w:val="0000FF"/>
          <w:sz w:val="24"/>
          <w:lang w:val="en-US" w:eastAsia="zh-CN"/>
        </w:rPr>
        <w:t>杭州市</w:t>
      </w:r>
      <w:r>
        <w:rPr>
          <w:rFonts w:ascii="Times New Roman" w:hAnsi="Times New Roman" w:eastAsia="华文楷体" w:cs="Times New Roman"/>
          <w:b/>
          <w:sz w:val="24"/>
        </w:rPr>
        <w:t>西湖区人民检察院根据《最高人民法院关于互联网法</w:t>
      </w:r>
      <w:r>
        <w:rPr>
          <w:rFonts w:hint="eastAsia" w:ascii="Times New Roman" w:hAnsi="Times New Roman" w:eastAsia="华文楷体" w:cs="Times New Roman"/>
          <w:b/>
          <w:sz w:val="24"/>
        </w:rPr>
        <w:t>院审理案件若干问题的规定》《中华人民共和国英雄烈士保护法》，对郭某某、何某某、付某某侵害革命英烈名誉的行为，依法向杭州互联网法院提起民事公益诉讼。人民检察院这一行为是在依法独立行使检察权，有利于保护英烈的人格尊严，①②符合题意。人民检察院是检察机关，人民法院是审判机关，③不符合题意。材料没有涉及健全社会矛盾预防化解机制，④不符合题意。</w:t>
      </w:r>
    </w:p>
    <w:p>
      <w:pPr>
        <w:pStyle w:val="2"/>
        <w:spacing w:line="360" w:lineRule="auto"/>
        <w:jc w:val="center"/>
        <w:rPr>
          <w:rFonts w:ascii="Times New Roman" w:hAnsi="Times New Roman" w:cs="Times New Roman"/>
          <w:b/>
          <w:sz w:val="24"/>
        </w:rPr>
      </w:pPr>
      <w:r>
        <w:rPr>
          <w:rFonts w:ascii="Times New Roman" w:hAnsi="Times New Roman" w:cs="Times New Roman"/>
          <w:b/>
          <w:sz w:val="24"/>
        </w:rPr>
        <w:drawing>
          <wp:inline distT="0" distB="0" distL="0" distR="0">
            <wp:extent cx="5318125" cy="380365"/>
            <wp:effectExtent l="0" t="0" r="0" b="635"/>
            <wp:docPr id="1" name="图片 1" descr="D:\董苗苗\25-26 四川点金训练 思想政治人教必修3\综合性·创新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董苗苗\25-26 四川点金训练 思想政治人教必修3\综合性·创新提升.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318125" cy="380365"/>
                    </a:xfrm>
                    <a:prstGeom prst="rect">
                      <a:avLst/>
                    </a:prstGeom>
                    <a:noFill/>
                    <a:ln>
                      <a:noFill/>
                    </a:ln>
                  </pic:spPr>
                </pic:pic>
              </a:graphicData>
            </a:graphic>
          </wp:inline>
        </w:drawing>
      </w:r>
    </w:p>
    <w:p>
      <w:pPr>
        <w:pStyle w:val="2"/>
        <w:spacing w:line="360" w:lineRule="auto"/>
        <w:rPr>
          <w:rFonts w:ascii="Times New Roman" w:hAnsi="Times New Roman" w:cs="Times New Roman"/>
          <w:b/>
          <w:sz w:val="24"/>
        </w:rPr>
      </w:pPr>
      <w:r>
        <w:rPr>
          <w:rFonts w:ascii="Times New Roman" w:hAnsi="Times New Roman" w:cs="Times New Roman"/>
          <w:b/>
          <w:sz w:val="24"/>
        </w:rPr>
        <w:t>5．</w:t>
      </w:r>
      <w:r>
        <w:rPr>
          <w:rFonts w:ascii="Times New Roman" w:hAnsi="Times New Roman" w:eastAsia="华文楷体" w:cs="Times New Roman"/>
          <w:b/>
          <w:sz w:val="24"/>
        </w:rPr>
        <w:t>司法机关要坚持以事实为根据、以法律为准绳，做到实体公正、程序正义、审判程序合法，充分利用信息化手段加强内部监督，严惩司法腐败，夯实</w:t>
      </w:r>
      <w:r>
        <w:rPr>
          <w:rFonts w:hAnsi="宋体" w:cs="Times New Roman"/>
          <w:b/>
          <w:sz w:val="24"/>
        </w:rPr>
        <w:t>“</w:t>
      </w:r>
      <w:r>
        <w:rPr>
          <w:rFonts w:ascii="Times New Roman" w:hAnsi="Times New Roman" w:eastAsia="华文楷体" w:cs="Times New Roman"/>
          <w:b/>
          <w:sz w:val="24"/>
        </w:rPr>
        <w:t>打官司不求人</w:t>
      </w:r>
      <w:r>
        <w:rPr>
          <w:rFonts w:hAnsi="宋体" w:cs="Times New Roman"/>
          <w:b/>
          <w:sz w:val="24"/>
        </w:rPr>
        <w:t>”</w:t>
      </w:r>
      <w:r>
        <w:rPr>
          <w:rFonts w:ascii="Times New Roman" w:hAnsi="Times New Roman" w:eastAsia="华文楷体" w:cs="Times New Roman"/>
          <w:b/>
          <w:sz w:val="24"/>
        </w:rPr>
        <w:t>的根本，让老百姓打官司</w:t>
      </w:r>
      <w:r>
        <w:rPr>
          <w:rFonts w:hAnsi="宋体" w:cs="Times New Roman"/>
          <w:b/>
          <w:sz w:val="24"/>
        </w:rPr>
        <w:t>“</w:t>
      </w:r>
      <w:r>
        <w:rPr>
          <w:rFonts w:ascii="Times New Roman" w:hAnsi="Times New Roman" w:eastAsia="华文楷体" w:cs="Times New Roman"/>
          <w:b/>
          <w:sz w:val="24"/>
        </w:rPr>
        <w:t>不用求人</w:t>
      </w:r>
      <w:r>
        <w:rPr>
          <w:rFonts w:hAnsi="宋体" w:cs="Times New Roman"/>
          <w:b/>
          <w:sz w:val="24"/>
        </w:rPr>
        <w:t>”</w:t>
      </w:r>
      <w:r>
        <w:rPr>
          <w:rFonts w:ascii="Times New Roman" w:hAnsi="Times New Roman" w:eastAsia="华文楷体" w:cs="Times New Roman"/>
          <w:b/>
          <w:sz w:val="24"/>
        </w:rPr>
        <w:t>；要说服当事人积极参与诉讼，找事实、摆证据，让老百姓打官司</w:t>
      </w:r>
      <w:r>
        <w:rPr>
          <w:rFonts w:hAnsi="宋体" w:cs="Times New Roman"/>
          <w:b/>
          <w:sz w:val="24"/>
        </w:rPr>
        <w:t>“</w:t>
      </w:r>
      <w:r>
        <w:rPr>
          <w:rFonts w:ascii="Times New Roman" w:hAnsi="Times New Roman" w:eastAsia="华文楷体" w:cs="Times New Roman"/>
          <w:b/>
          <w:sz w:val="24"/>
        </w:rPr>
        <w:t>不去求人</w:t>
      </w:r>
      <w:r>
        <w:rPr>
          <w:rFonts w:hAnsi="宋体" w:cs="Times New Roman"/>
          <w:b/>
          <w:sz w:val="24"/>
        </w:rPr>
        <w:t>”</w:t>
      </w:r>
      <w:r>
        <w:rPr>
          <w:rFonts w:ascii="Times New Roman" w:hAnsi="Times New Roman" w:eastAsia="华文楷体" w:cs="Times New Roman"/>
          <w:b/>
          <w:sz w:val="24"/>
        </w:rPr>
        <w:t>；要加大宣传力度，引导社会各界信仰法治，让老百姓不相信</w:t>
      </w:r>
      <w:r>
        <w:rPr>
          <w:rFonts w:hAnsi="宋体" w:cs="Times New Roman"/>
          <w:b/>
          <w:sz w:val="24"/>
        </w:rPr>
        <w:t>“</w:t>
      </w:r>
      <w:r>
        <w:rPr>
          <w:rFonts w:ascii="Times New Roman" w:hAnsi="Times New Roman" w:eastAsia="华文楷体" w:cs="Times New Roman"/>
          <w:b/>
          <w:sz w:val="24"/>
        </w:rPr>
        <w:t>求人能打赢官司</w:t>
      </w:r>
      <w:r>
        <w:rPr>
          <w:rFonts w:hAnsi="宋体" w:cs="Times New Roman"/>
          <w:b/>
          <w:sz w:val="24"/>
        </w:rPr>
        <w:t>”</w:t>
      </w:r>
      <w:r>
        <w:rPr>
          <w:rFonts w:ascii="Times New Roman" w:hAnsi="Times New Roman" w:eastAsia="华文楷体" w:cs="Times New Roman"/>
          <w:b/>
          <w:sz w:val="24"/>
        </w:rPr>
        <w:t>，努力践行</w:t>
      </w:r>
      <w:r>
        <w:rPr>
          <w:rFonts w:hAnsi="宋体" w:cs="Times New Roman"/>
          <w:b/>
          <w:sz w:val="24"/>
        </w:rPr>
        <w:t>“</w:t>
      </w:r>
      <w:r>
        <w:rPr>
          <w:rFonts w:ascii="Times New Roman" w:hAnsi="Times New Roman" w:eastAsia="华文楷体" w:cs="Times New Roman"/>
          <w:b/>
          <w:sz w:val="24"/>
        </w:rPr>
        <w:t>打官司不求人</w:t>
      </w:r>
      <w:r>
        <w:rPr>
          <w:rFonts w:hAnsi="宋体" w:cs="Times New Roman"/>
          <w:b/>
          <w:sz w:val="24"/>
        </w:rPr>
        <w:t>”</w:t>
      </w:r>
      <w:r>
        <w:rPr>
          <w:rFonts w:ascii="Times New Roman" w:hAnsi="Times New Roman" w:eastAsia="华文楷体" w:cs="Times New Roman"/>
          <w:b/>
          <w:sz w:val="24"/>
        </w:rPr>
        <w:t>的庄严承诺。</w:t>
      </w:r>
    </w:p>
    <w:p>
      <w:pPr>
        <w:pStyle w:val="2"/>
        <w:spacing w:line="360" w:lineRule="auto"/>
        <w:rPr>
          <w:rFonts w:ascii="Times New Roman" w:hAnsi="Times New Roman" w:cs="Times New Roman"/>
          <w:b/>
          <w:sz w:val="24"/>
        </w:rPr>
      </w:pPr>
      <w:r>
        <w:rPr>
          <w:rFonts w:ascii="Times New Roman" w:hAnsi="Times New Roman" w:cs="Times New Roman"/>
          <w:b/>
          <w:sz w:val="24"/>
        </w:rPr>
        <w:t>结合材料，运用公正司法的有关知识，分析司法机关怎样</w:t>
      </w:r>
      <w:r>
        <w:rPr>
          <w:rFonts w:hint="eastAsia" w:ascii="Times New Roman" w:hAnsi="Times New Roman" w:cs="Times New Roman"/>
          <w:b/>
          <w:sz w:val="24"/>
          <w:lang w:val="en-US" w:eastAsia="zh-CN"/>
        </w:rPr>
        <w:t>践行</w:t>
      </w:r>
      <w:r>
        <w:rPr>
          <w:rFonts w:hAnsi="宋体" w:cs="Times New Roman"/>
          <w:b/>
          <w:sz w:val="24"/>
        </w:rPr>
        <w:t>“</w:t>
      </w:r>
      <w:r>
        <w:rPr>
          <w:rFonts w:ascii="Times New Roman" w:hAnsi="Times New Roman" w:cs="Times New Roman"/>
          <w:b/>
          <w:sz w:val="24"/>
        </w:rPr>
        <w:t>打官司不求人</w:t>
      </w:r>
      <w:r>
        <w:rPr>
          <w:rFonts w:hAnsi="宋体" w:cs="Times New Roman"/>
          <w:b/>
          <w:sz w:val="24"/>
        </w:rPr>
        <w:t>”</w:t>
      </w:r>
      <w:r>
        <w:rPr>
          <w:rFonts w:ascii="Times New Roman" w:hAnsi="Times New Roman" w:cs="Times New Roman"/>
          <w:b/>
          <w:sz w:val="24"/>
        </w:rPr>
        <w:t>的庄严承诺。</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①司</w:t>
      </w:r>
      <w:r>
        <w:rPr>
          <w:rFonts w:hint="eastAsia" w:ascii="Times New Roman" w:hAnsi="Times New Roman" w:cs="Times New Roman"/>
          <w:b/>
          <w:sz w:val="24"/>
        </w:rPr>
        <w:t>法的程序和结果要公正，维护当事人诉讼地位平等，司法过程严格依据诉讼法进行，案件事实清楚、</w:t>
      </w:r>
      <w:bookmarkStart w:id="0" w:name="_GoBack"/>
      <w:bookmarkEnd w:id="0"/>
      <w:r>
        <w:rPr>
          <w:rFonts w:hint="eastAsia" w:ascii="Times New Roman" w:hAnsi="Times New Roman" w:cs="Times New Roman"/>
          <w:b/>
          <w:sz w:val="24"/>
        </w:rPr>
        <w:t>法律适用准确、裁判结果合法合理。做到实体公正、程序正义、审判程序合法。②必须确保审判权和检察权依法独立行使。任何党政机关和领导干部都不得让司法机关做违反法定职责、有碍司法公正的事情，任何司法机关都不得执行党政机关和领导干部违法干预司法活动的要求。充分利用信息化手段加强内部监督，严惩司法腐败。③必须坚持以事实为根据、以法律为准绳，做到事实认定符合客观真相、办案结果公正、办案程序公正。说服当事人积极参与诉讼，找事实、摆证据，让老百姓打官司</w:t>
      </w:r>
      <w:r>
        <w:rPr>
          <w:rFonts w:hint="eastAsia" w:hAnsi="宋体" w:cs="Times New Roman"/>
          <w:b/>
          <w:sz w:val="24"/>
        </w:rPr>
        <w:t>“</w:t>
      </w:r>
      <w:r>
        <w:rPr>
          <w:rFonts w:hint="eastAsia" w:ascii="Times New Roman" w:hAnsi="Times New Roman" w:cs="Times New Roman"/>
          <w:b/>
          <w:sz w:val="24"/>
        </w:rPr>
        <w:t>不去求人</w:t>
      </w:r>
      <w:r>
        <w:rPr>
          <w:rFonts w:hint="eastAsia" w:hAnsi="宋体" w:cs="Times New Roman"/>
          <w:b/>
          <w:sz w:val="24"/>
        </w:rPr>
        <w:t>”</w:t>
      </w:r>
      <w:r>
        <w:rPr>
          <w:rFonts w:hint="eastAsia" w:ascii="Times New Roman" w:hAnsi="Times New Roman" w:cs="Times New Roman"/>
          <w:b/>
          <w:sz w:val="24"/>
        </w:rPr>
        <w:t>。④必须坚持人民司法为人民，依靠人民推进公正司法，通过公正司法维护人民权益。构建开放、动态、透明、便民的阳光司法机制，推进审判公开、检务公开，依法及时公开司法依据、程序、流程、结果和生效法律文书，杜绝暗箱操作。⑤必须加强人权司法保障。强化诉讼过程中当事人和其他诉讼参与人的知情权、陈述权、辩护辩论权等的制度保障。健全落实罪刑法定、疑罪从无、非法证据排除等法律原则的法律制度。</w:t>
      </w:r>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t>3</w:t>
    </w:r>
    <w:r>
      <w:fldChar w:fldCharType="end"/>
    </w:r>
    <w:r>
      <w:t>/</w:t>
    </w:r>
    <w:r>
      <w:fldChar w:fldCharType="begin"/>
    </w:r>
    <w:r>
      <w:instrText xml:space="preserve"> NUMPAGES  \* MERGEFORMAT </w:instrText>
    </w:r>
    <w:r>
      <w:fldChar w:fldCharType="separate"/>
    </w:r>
    <w:r>
      <w:t>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366D2"/>
    <w:rsid w:val="00065197"/>
    <w:rsid w:val="000B3FC0"/>
    <w:rsid w:val="000E401A"/>
    <w:rsid w:val="00125270"/>
    <w:rsid w:val="001424BE"/>
    <w:rsid w:val="0018754A"/>
    <w:rsid w:val="001D6127"/>
    <w:rsid w:val="00205CF5"/>
    <w:rsid w:val="00235626"/>
    <w:rsid w:val="00242A82"/>
    <w:rsid w:val="00244506"/>
    <w:rsid w:val="002469DD"/>
    <w:rsid w:val="002A39D8"/>
    <w:rsid w:val="002E24D2"/>
    <w:rsid w:val="003025F2"/>
    <w:rsid w:val="0034619D"/>
    <w:rsid w:val="003938A7"/>
    <w:rsid w:val="003B2955"/>
    <w:rsid w:val="00411C51"/>
    <w:rsid w:val="004435C8"/>
    <w:rsid w:val="00452F1B"/>
    <w:rsid w:val="00460CD6"/>
    <w:rsid w:val="004900AE"/>
    <w:rsid w:val="004D69EC"/>
    <w:rsid w:val="00546244"/>
    <w:rsid w:val="00591D88"/>
    <w:rsid w:val="005E0C58"/>
    <w:rsid w:val="00640329"/>
    <w:rsid w:val="00656A61"/>
    <w:rsid w:val="00667481"/>
    <w:rsid w:val="006679F3"/>
    <w:rsid w:val="006E2C61"/>
    <w:rsid w:val="006F22C3"/>
    <w:rsid w:val="00713B76"/>
    <w:rsid w:val="00737D3B"/>
    <w:rsid w:val="0076597E"/>
    <w:rsid w:val="007A33CF"/>
    <w:rsid w:val="007B1A6B"/>
    <w:rsid w:val="007B3448"/>
    <w:rsid w:val="007C190E"/>
    <w:rsid w:val="0080468C"/>
    <w:rsid w:val="008147ED"/>
    <w:rsid w:val="00825062"/>
    <w:rsid w:val="00850AFC"/>
    <w:rsid w:val="008542E8"/>
    <w:rsid w:val="00881ACD"/>
    <w:rsid w:val="00892625"/>
    <w:rsid w:val="008A7DC3"/>
    <w:rsid w:val="008C213E"/>
    <w:rsid w:val="009429D2"/>
    <w:rsid w:val="00954897"/>
    <w:rsid w:val="00980E8D"/>
    <w:rsid w:val="0098106D"/>
    <w:rsid w:val="00996BFE"/>
    <w:rsid w:val="009F0AE5"/>
    <w:rsid w:val="00A16FD1"/>
    <w:rsid w:val="00A352BF"/>
    <w:rsid w:val="00A526AA"/>
    <w:rsid w:val="00A57FA2"/>
    <w:rsid w:val="00A914FB"/>
    <w:rsid w:val="00AB001B"/>
    <w:rsid w:val="00AC0181"/>
    <w:rsid w:val="00B050A0"/>
    <w:rsid w:val="00B10D1B"/>
    <w:rsid w:val="00B55504"/>
    <w:rsid w:val="00B57724"/>
    <w:rsid w:val="00B6364F"/>
    <w:rsid w:val="00C10E5F"/>
    <w:rsid w:val="00C775FE"/>
    <w:rsid w:val="00C8702E"/>
    <w:rsid w:val="00CE2C72"/>
    <w:rsid w:val="00D36E20"/>
    <w:rsid w:val="00D85921"/>
    <w:rsid w:val="00E57DF5"/>
    <w:rsid w:val="00E9217D"/>
    <w:rsid w:val="00E92678"/>
    <w:rsid w:val="00E966D8"/>
    <w:rsid w:val="00F31AFD"/>
    <w:rsid w:val="00F62AB3"/>
    <w:rsid w:val="00F743BC"/>
    <w:rsid w:val="00FA5924"/>
    <w:rsid w:val="00FE20F3"/>
    <w:rsid w:val="4A743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uiPriority w:val="99"/>
    <w:rPr>
      <w:rFonts w:hAnsi="Courier New" w:cs="Courier New" w:asciiTheme="minorEastAsia" w:eastAsiaTheme="minorEastAsia"/>
    </w:rPr>
  </w:style>
  <w:style w:type="paragraph" w:styleId="3">
    <w:name w:val="Balloon Text"/>
    <w:basedOn w:val="1"/>
    <w:link w:val="11"/>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99"/>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329</Words>
  <Characters>1881</Characters>
  <Lines>15</Lines>
  <Paragraphs>4</Paragraphs>
  <TotalTime>0</TotalTime>
  <ScaleCrop>false</ScaleCrop>
  <LinksUpToDate>false</LinksUpToDate>
  <CharactersWithSpaces>2206</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孤竹君</cp:lastModifiedBy>
  <dcterms:modified xsi:type="dcterms:W3CDTF">2026-02-06T04:12:55Z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B30BC0AA97E34651975C0EA0F597ECA1</vt:lpwstr>
  </property>
</Properties>
</file>